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269</w:t>
      </w:r>
    </w:p>
    <w:p>
      <w:r>
        <w:t>Bundesgericht (BGE), 2015-07-30, DE</w:t>
      </w:r>
    </w:p>
    <w:p>
      <w:r>
        <w:rPr>
          <w:b/>
        </w:rPr>
        <w:t xml:space="preserve">Quelle: </w:t>
      </w:r>
      <w:r>
        <w:t>https://mcp.opencaselaw.ch/entscheid/bge_141 IV 269</w:t>
      </w:r>
    </w:p>
    <w:p>
      <w:r>
        <w:t>FR: ATF 141 IV 269</w:t>
      </w:r>
    </w:p>
    <w:p>
      <w:r>
        <w:t>IT: DTF 141 IV 269</w:t>
      </w:r>
    </w:p>
    <w:p>
      <w:pPr>
        <w:pStyle w:val="Heading2"/>
      </w:pPr>
      <w:r>
        <w:t>Regeste</w:t>
      </w:r>
    </w:p>
    <w:p>
      <w:r>
        <w:t>Regeste Art. 386 Abs. 2 und 3 StPO; Rückzug eines Rechtsmittels; Willensmängel. Der Rückzug eines Rechtsmittels unter der Bedingung, dass die Gegenpartei ihr eigenes Rechtsmittel ebenfalls zurückziehe, ist zulässig (E. 2.1). Ein im Sinne von Art. 386 Abs. 3 StPO mit Willensmängeln behafteter Rechtsmittelrückzug ist nicht endgültig und kann widerrufen werden. Der Widerruf ist an diejenige Instanz zu richten, gegenüber welcher der Rückzug des Rechtsmittels erklärt wurde. Diese hat zu prüfen, ob der Rückzug wirksam ist (E. 2.2.3).</w:t>
      </w:r>
    </w:p>
    <w:p>
      <w:pPr>
        <w:pStyle w:val="Heading2"/>
      </w:pPr>
      <w:r>
        <w:t>Erwägungen</w:t>
      </w:r>
    </w:p>
    <w:p>
      <w:r>
        <w:rPr>
          <w:b/>
        </w:rPr>
        <w:t>E. 1.1</w:t>
      </w:r>
    </w:p>
    <w:p>
      <w:r>
        <w:t>Der Beschwerdeführer macht zusammengefasst geltend, nach Intervention und auf Veranlassung von Oberrichter A. sei er entgegen seinem eigentlichen inneren Willen gezwungen worden, die Berufung zurückzuziehen. (...)</w:t>
      </w:r>
    </w:p>
    <w:p>
      <w:r>
        <w:rPr>
          <w:b/>
        </w:rPr>
        <w:t>E. 2.1</w:t>
      </w:r>
    </w:p>
    <w:p>
      <w:r>
        <w:t>Nach der Rechtsprechung muss der Rückzug eines Rechtsmittels klar, ausdrücklich und unbedingt erfolgen ( BGE 119 V 36 E. 1b mit Hinweis). Zulässig ist der Rückzug des Rechtsmittels unter der Bedingung, dass die Gegenpartei ihr eigenes Rechtsmittel ebenfalls zurückziehe (PETER REETZ, in: Kommentar zur Schweizerischen BGE 141 IV 269 S. 271 Zivilprozessordnung, Sutter-Somm/Hasenböhler/Leuenberger [Hrsg.], 2. Aufl. 2013, N. 40 der Vorbemerkungen zu Art. 308-318 ZPO ; FRANK/STRÄULI/MESSMER, Kommentar zur zürcherischen Zivilprozessordnung, 3. Aufl. 1997, N. 5 zu § 264 ZPO /ZH). Wie im Fall der Anschlussberufung ( Art. 401 Abs. 3 StPO ) ermöglicht dies einer Partei, ihre Berufung zurückzuziehen, ohne die Gefahr eingehen zu müssen, dass eine andere Partei ihr eigenes Rechtsmittel aufrechterhält und eine reformatio in peius möglich bleibt.</w:t>
      </w:r>
    </w:p>
    <w:p>
      <w:r>
        <w:rPr>
          <w:b/>
        </w:rPr>
        <w:t>E. 2.2.1</w:t>
      </w:r>
    </w:p>
    <w:p>
      <w:r>
        <w:t>Der Rückzug des Rechtsmittels ist endgültig, es sei denn, die Partei sei durch Täuschung, eine Straftat oder eine unrichtige behördliche Auskunft zu ihrer Erklärung veranlasst worden ( Art. 386 Abs. 3 StPO ). Willensmängel sind von demjenigen, der sich darauf beruft, nachzuweisen (Urteil 2C_292/2014 vom 18. August 2014 E. 2.1). In welcher Form diese geltend zu machen sind, regelt Art. 386 Abs. 3 StPO nicht ausdrücklich. In der Lehre wird die Auffassung vertreten, dass dies sinnvollerweise nur im Rahmen einer offenen Rechtsmittelfrist gegen die Verfahrensabschreibung geschehen könne. Später komme nur noch die Revision in Betracht (ZIEGLER/KELLER, in: Basler Kommentar, Schweizerische Strafprozessordnung, 2. Aufl. 2014, N. 4 zu Art. 386 StPO ).</w:t>
      </w:r>
    </w:p>
    <w:p>
      <w:r>
        <w:rPr>
          <w:b/>
        </w:rPr>
        <w:t>E. 2.2.2</w:t>
      </w:r>
    </w:p>
    <w:p>
      <w:r>
        <w:t>Nach Art. 410 Abs. 1 StPO kann die Revision verlangen, wer durch ein rechtskräftiges Urteil, einen Strafbefehl, einen nachträglichen richterlichen Entscheid oder einen Entscheid im selbstständigen Massnahmenverfahren beschwert ist. Urteile sind Entscheide, in denen über Straf- und Zivilfragen materiell befunden wird; die anderen Entscheide ergehen in der Form eines Beschlusses oder einer Verfügung ( Art. 80 Abs. 1 StPO ). Gegen Letztere ist die Revision nicht zulässig (THOMAS FINGERHUTH, in: Kommentar zur Schweizerischen Strafprozessordnung, Donatsch/Hansjakob/Lieber [Hrsg.], 2. Aufl. 2014, N. 17 zu Art. 410 StPO mit Hinweisen). Dies betrifft auch die Abschreibung des Verfahrens infolge Rückzugs eines Rechtsmittels.</w:t>
      </w:r>
    </w:p>
    <w:p>
      <w:r>
        <w:rPr>
          <w:b/>
        </w:rPr>
        <w:t>E. 2.2.3</w:t>
      </w:r>
    </w:p>
    <w:p>
      <w:r>
        <w:t>Nach dem Rückzug des Rechtsmittels ist die Situation nicht anders, als wäre dieses nie erhoben worden (RICHARD CALAME, in: Commentaire romand, Code de procédure pénale suisse, 2011, N. 4 zu Art. 386 StPO ). Das Verfahren vor der Berufungs- oder Beschwerdeinstanz wird mit dem Rückzug unmittelbar beendet und der Abschreibungsbeschluss hat lediglich deklaratorischen BGE 141 IV 269 S. 272 Charakter ( BGE 109 V 234 E. 3 mit Hinweisen). Die in Art. 386 Abs. 3 StPO erwähnten Willensmängel werden typischerweise auch nach Ablauf der Rechtsmittelfrist bekannt oder ihre Wirkung dauert darüber hinaus an. Ihre Geltendmachung nach diesem Zeitpunkt muss daher, obwohl die Revision nach Art. 410 Abs. 1 StPO unzulässig ist, möglich bleiben. Art. 386 Abs. 3 StPO statuiert lediglich, dass der Rückzug eines Rechtsmittels endgültig ist, es sei denn, bestimmte Willensmängel lägen vor. Umgekehrt bedeutet dies, dass ein im Sinne von Art. 386 Abs. 3 StPO mit Willensmängeln behafteter Rechtsmittelrückzug nicht endgültig ist und widerrufen werden kann. Im Sinne dieser Bestimmung hat die Partei, deren Rückzugserklärung sich als unwirksam erweist, einen Anspruch darauf, dass ihr Rechtsmittel von der zuständigen Berufungs- oder Beschwerdeinstanz in der Sache behandelt wird. Ein solcher Widerruf ist daher - unabhängig von der Beschwerdefrist ans Bundesgericht - an diejenige Instanz zu richten, gegenüber welcher der Rückzug des Rechtsmittels erklärt wurde. Ohne Belang ist, ob dies vor oder nach dem Erlass eines Abschreibungsbeschlusses erfolgt, zumal Letzterem bloss deklaratorische Wirkung zukommt. Widerruft eine Partei ihren Rückzug, ist das Rechtsmittelverfahren neu aufzunehmen. Erachtet die Beschwerde- oder Berufungsinstanz, der Rückzug sei wirksam, ist auf das Rechtsmittel - wie bei einer verspäteten Eingabe - nicht einzutreten. Soweit vor Bundesgericht ein Abschreibungsbeschluss angefochten und - wie vorliegend - geltend gemacht wird, der Rückzug des Rechtsmittels sei nach Art. 386 Abs. 3 StPO unwirksam, ist auf die Beschwerde mangels Ausschöpfung des kantonalen Instanzenzuges nicht einzutreten ( Art. 80 Abs. 1 BGG ). Hätte das Bundesgericht über die behaupteten Willensmängel zu befinden, müsste es sich wie ein Sachgericht zur Beweiswürdigung äussern und sein Ermessen in Beweisfragen über dasjenige des Sachgerichts setzen. Dies widerspricht dem Grundsatz, wonach das Bundesgericht in Tatfragen nur prüft, ob die Vorinstanz das Willkürverbot verletzt hat (Urteil 6B_389/2012 vom 6. November 2012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